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27088">
      <w:pPr>
        <w:spacing w:after="0" w:line="480" w:lineRule="exact"/>
        <w:ind w:firstLine="600" w:firstLineChars="200"/>
        <w:rPr>
          <w:rFonts w:hint="eastAsia" w:ascii="仿宋" w:hAnsi="仿宋" w:eastAsia="仿宋"/>
          <w:sz w:val="30"/>
          <w:szCs w:val="30"/>
        </w:rPr>
      </w:pPr>
    </w:p>
    <w:p w14:paraId="1E73D79E">
      <w:pPr>
        <w:spacing w:after="0" w:line="480" w:lineRule="exact"/>
        <w:ind w:firstLine="883" w:firstLineChars="200"/>
        <w:rPr>
          <w:rFonts w:hint="eastAsia" w:ascii="仿宋" w:hAnsi="仿宋" w:eastAsia="仿宋"/>
          <w:b/>
          <w:bCs/>
          <w:sz w:val="44"/>
          <w:szCs w:val="44"/>
        </w:rPr>
      </w:pPr>
      <w:r>
        <w:rPr>
          <w:rFonts w:hint="eastAsia" w:ascii="仿宋" w:hAnsi="仿宋" w:eastAsia="仿宋"/>
          <w:b/>
          <w:bCs/>
          <w:sz w:val="44"/>
          <w:szCs w:val="44"/>
        </w:rPr>
        <w:t>网络安全等保测评及服务项目需求</w:t>
      </w:r>
    </w:p>
    <w:p w14:paraId="75AF219E">
      <w:pPr>
        <w:spacing w:after="0" w:line="480" w:lineRule="exact"/>
        <w:ind w:firstLine="600" w:firstLineChars="200"/>
        <w:jc w:val="center"/>
        <w:rPr>
          <w:rFonts w:hint="eastAsia" w:ascii="仿宋" w:hAnsi="仿宋" w:eastAsia="仿宋"/>
          <w:sz w:val="30"/>
          <w:szCs w:val="30"/>
        </w:rPr>
      </w:pPr>
    </w:p>
    <w:p w14:paraId="4B3DA561">
      <w:pPr>
        <w:pStyle w:val="30"/>
        <w:numPr>
          <w:ilvl w:val="0"/>
          <w:numId w:val="1"/>
        </w:numPr>
        <w:spacing w:after="0" w:line="480" w:lineRule="exact"/>
        <w:rPr>
          <w:rFonts w:hint="eastAsia" w:ascii="黑体" w:hAnsi="黑体" w:eastAsia="黑体"/>
          <w:sz w:val="30"/>
          <w:szCs w:val="30"/>
        </w:rPr>
      </w:pPr>
      <w:r>
        <w:rPr>
          <w:rFonts w:hint="eastAsia" w:ascii="黑体" w:hAnsi="黑体" w:eastAsia="黑体"/>
          <w:sz w:val="30"/>
          <w:szCs w:val="30"/>
        </w:rPr>
        <w:t>项目名称</w:t>
      </w:r>
    </w:p>
    <w:p w14:paraId="367664FC">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项目名称：网络安全等保测评及服务项目</w:t>
      </w:r>
    </w:p>
    <w:p w14:paraId="4040C3E9">
      <w:pPr>
        <w:spacing w:after="0" w:line="480" w:lineRule="exact"/>
        <w:ind w:firstLine="600" w:firstLineChars="200"/>
        <w:rPr>
          <w:rFonts w:hint="eastAsia" w:ascii="仿宋" w:hAnsi="仿宋" w:eastAsia="仿宋"/>
          <w:sz w:val="30"/>
          <w:szCs w:val="30"/>
        </w:rPr>
      </w:pPr>
    </w:p>
    <w:p w14:paraId="4D6473F2">
      <w:pPr>
        <w:spacing w:after="0" w:line="480" w:lineRule="exact"/>
        <w:ind w:firstLine="600" w:firstLineChars="200"/>
        <w:rPr>
          <w:rFonts w:hint="eastAsia" w:ascii="黑体" w:hAnsi="黑体" w:eastAsia="黑体"/>
          <w:sz w:val="30"/>
          <w:szCs w:val="30"/>
        </w:rPr>
      </w:pPr>
      <w:r>
        <w:rPr>
          <w:rFonts w:hint="eastAsia" w:ascii="黑体" w:hAnsi="黑体" w:eastAsia="黑体"/>
          <w:sz w:val="30"/>
          <w:szCs w:val="30"/>
        </w:rPr>
        <w:t>二、项目需求清单</w:t>
      </w:r>
    </w:p>
    <w:tbl>
      <w:tblPr>
        <w:tblStyle w:val="15"/>
        <w:tblW w:w="7655"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3753"/>
        <w:gridCol w:w="3119"/>
      </w:tblGrid>
      <w:tr w14:paraId="1110B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455312F4">
            <w:pPr>
              <w:spacing w:after="0"/>
              <w:rPr>
                <w:rFonts w:hint="eastAsia"/>
              </w:rPr>
            </w:pPr>
            <w:r>
              <w:rPr>
                <w:rFonts w:hint="eastAsia"/>
              </w:rPr>
              <w:t>序号</w:t>
            </w:r>
          </w:p>
        </w:tc>
        <w:tc>
          <w:tcPr>
            <w:tcW w:w="3753" w:type="dxa"/>
            <w:vAlign w:val="center"/>
          </w:tcPr>
          <w:p w14:paraId="1F0AEBDD">
            <w:pPr>
              <w:spacing w:after="0"/>
              <w:ind w:firstLine="440" w:firstLineChars="200"/>
              <w:jc w:val="center"/>
              <w:rPr>
                <w:rFonts w:hint="eastAsia"/>
              </w:rPr>
            </w:pPr>
            <w:r>
              <w:rPr>
                <w:rFonts w:hint="eastAsia"/>
              </w:rPr>
              <w:t>具体内容</w:t>
            </w:r>
          </w:p>
        </w:tc>
        <w:tc>
          <w:tcPr>
            <w:tcW w:w="3119" w:type="dxa"/>
            <w:vAlign w:val="center"/>
          </w:tcPr>
          <w:p w14:paraId="0107533B">
            <w:pPr>
              <w:spacing w:after="0"/>
              <w:ind w:firstLine="440" w:firstLineChars="200"/>
              <w:jc w:val="center"/>
              <w:rPr>
                <w:rFonts w:hint="eastAsia"/>
              </w:rPr>
            </w:pPr>
            <w:r>
              <w:rPr>
                <w:rFonts w:hint="eastAsia"/>
              </w:rPr>
              <w:t>备注</w:t>
            </w:r>
          </w:p>
        </w:tc>
      </w:tr>
      <w:tr w14:paraId="77549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83" w:type="dxa"/>
            <w:vAlign w:val="center"/>
          </w:tcPr>
          <w:p w14:paraId="4A7D12AF">
            <w:pPr>
              <w:spacing w:after="0"/>
              <w:ind w:firstLine="440" w:firstLineChars="200"/>
              <w:jc w:val="center"/>
              <w:rPr>
                <w:rFonts w:hint="eastAsia"/>
              </w:rPr>
            </w:pPr>
            <w:bookmarkStart w:id="0" w:name="OLE_LINK31" w:colFirst="1" w:colLast="2"/>
            <w:r>
              <w:rPr>
                <w:rFonts w:hint="eastAsia"/>
              </w:rPr>
              <w:t>1</w:t>
            </w:r>
          </w:p>
        </w:tc>
        <w:tc>
          <w:tcPr>
            <w:tcW w:w="3753" w:type="dxa"/>
            <w:vAlign w:val="center"/>
          </w:tcPr>
          <w:p w14:paraId="3B42B02F">
            <w:pPr>
              <w:spacing w:after="0"/>
              <w:rPr>
                <w:rFonts w:hint="eastAsia"/>
                <w:sz w:val="24"/>
              </w:rPr>
            </w:pPr>
            <w:r>
              <w:rPr>
                <w:rFonts w:hint="eastAsia"/>
              </w:rPr>
              <w:t>系统等级保护测评</w:t>
            </w:r>
          </w:p>
        </w:tc>
        <w:tc>
          <w:tcPr>
            <w:tcW w:w="3119" w:type="dxa"/>
            <w:vAlign w:val="center"/>
          </w:tcPr>
          <w:p w14:paraId="086DCCC0">
            <w:pPr>
              <w:spacing w:after="0"/>
              <w:rPr>
                <w:rFonts w:hint="default" w:eastAsiaTheme="minorEastAsia"/>
                <w:lang w:val="en-US" w:eastAsia="zh-CN"/>
              </w:rPr>
            </w:pPr>
            <w:r>
              <w:rPr>
                <w:rFonts w:hint="eastAsia"/>
              </w:rPr>
              <w:t>HIS和EMR系统测评三级</w:t>
            </w:r>
          </w:p>
        </w:tc>
      </w:tr>
      <w:tr w14:paraId="20E7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02DC6486">
            <w:pPr>
              <w:spacing w:after="0"/>
              <w:ind w:firstLine="440" w:firstLineChars="200"/>
              <w:jc w:val="center"/>
              <w:rPr>
                <w:rFonts w:hint="eastAsia"/>
              </w:rPr>
            </w:pPr>
            <w:r>
              <w:rPr>
                <w:rFonts w:hint="eastAsia"/>
              </w:rPr>
              <w:t>2</w:t>
            </w:r>
          </w:p>
        </w:tc>
        <w:tc>
          <w:tcPr>
            <w:tcW w:w="3753" w:type="dxa"/>
            <w:vAlign w:val="center"/>
          </w:tcPr>
          <w:p w14:paraId="5C090E11">
            <w:pPr>
              <w:spacing w:after="0"/>
              <w:rPr>
                <w:rFonts w:hint="eastAsia"/>
                <w:sz w:val="24"/>
              </w:rPr>
            </w:pPr>
            <w:r>
              <w:rPr>
                <w:rFonts w:hint="eastAsia"/>
              </w:rPr>
              <w:t>应急响应技术服务</w:t>
            </w:r>
          </w:p>
        </w:tc>
        <w:tc>
          <w:tcPr>
            <w:tcW w:w="3119" w:type="dxa"/>
            <w:vAlign w:val="center"/>
          </w:tcPr>
          <w:p w14:paraId="626D9484">
            <w:pPr>
              <w:spacing w:after="0"/>
              <w:ind w:firstLine="440" w:firstLineChars="200"/>
              <w:jc w:val="center"/>
              <w:rPr>
                <w:rFonts w:hint="eastAsia"/>
              </w:rPr>
            </w:pPr>
          </w:p>
        </w:tc>
      </w:tr>
      <w:tr w14:paraId="200A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6CB99A8E">
            <w:pPr>
              <w:spacing w:after="0"/>
              <w:ind w:firstLine="440" w:firstLineChars="200"/>
              <w:jc w:val="center"/>
              <w:rPr>
                <w:rFonts w:hint="eastAsia"/>
              </w:rPr>
            </w:pPr>
            <w:r>
              <w:rPr>
                <w:rFonts w:hint="eastAsia"/>
              </w:rPr>
              <w:t>3</w:t>
            </w:r>
          </w:p>
        </w:tc>
        <w:tc>
          <w:tcPr>
            <w:tcW w:w="3753" w:type="dxa"/>
            <w:vAlign w:val="center"/>
          </w:tcPr>
          <w:p w14:paraId="276B366B">
            <w:pPr>
              <w:spacing w:after="0"/>
              <w:rPr>
                <w:rFonts w:hint="eastAsia"/>
                <w:sz w:val="24"/>
              </w:rPr>
            </w:pPr>
            <w:r>
              <w:rPr>
                <w:rFonts w:hint="eastAsia"/>
              </w:rPr>
              <w:t>网络安全培训服务</w:t>
            </w:r>
          </w:p>
        </w:tc>
        <w:tc>
          <w:tcPr>
            <w:tcW w:w="3119" w:type="dxa"/>
            <w:vAlign w:val="center"/>
          </w:tcPr>
          <w:p w14:paraId="57137206">
            <w:pPr>
              <w:spacing w:after="0"/>
              <w:ind w:firstLine="440" w:firstLineChars="200"/>
              <w:jc w:val="center"/>
              <w:rPr>
                <w:rFonts w:hint="eastAsia"/>
              </w:rPr>
            </w:pPr>
          </w:p>
        </w:tc>
      </w:tr>
      <w:bookmarkEnd w:id="0"/>
    </w:tbl>
    <w:p w14:paraId="3F04E236">
      <w:pPr>
        <w:spacing w:after="0" w:line="480" w:lineRule="exact"/>
        <w:ind w:firstLine="600" w:firstLineChars="200"/>
        <w:rPr>
          <w:rFonts w:hint="default" w:ascii="仿宋" w:hAnsi="仿宋" w:eastAsia="仿宋"/>
          <w:sz w:val="30"/>
          <w:szCs w:val="30"/>
          <w:lang w:val="en-US" w:eastAsia="zh-CN"/>
        </w:rPr>
      </w:pPr>
      <w:r>
        <w:rPr>
          <w:rFonts w:hint="eastAsia" w:ascii="仿宋" w:hAnsi="仿宋" w:eastAsia="仿宋"/>
          <w:sz w:val="30"/>
          <w:szCs w:val="30"/>
          <w:lang w:val="en-US" w:eastAsia="zh-CN"/>
        </w:rPr>
        <w:t>服务期限：一年</w:t>
      </w:r>
    </w:p>
    <w:p w14:paraId="46082D66">
      <w:pPr>
        <w:spacing w:after="0" w:line="480" w:lineRule="exact"/>
        <w:ind w:firstLine="600" w:firstLineChars="200"/>
        <w:rPr>
          <w:rFonts w:hint="eastAsia" w:ascii="黑体" w:hAnsi="黑体" w:eastAsia="黑体"/>
          <w:sz w:val="30"/>
          <w:szCs w:val="30"/>
        </w:rPr>
      </w:pPr>
      <w:r>
        <w:rPr>
          <w:rFonts w:hint="eastAsia" w:ascii="黑体" w:hAnsi="黑体" w:eastAsia="黑体"/>
          <w:sz w:val="30"/>
          <w:szCs w:val="30"/>
        </w:rPr>
        <w:t>三、详细项目需求内容</w:t>
      </w:r>
    </w:p>
    <w:p w14:paraId="42C27FB7">
      <w:pPr>
        <w:spacing w:after="0" w:line="480" w:lineRule="exact"/>
        <w:ind w:firstLine="602" w:firstLineChars="200"/>
        <w:rPr>
          <w:rFonts w:hint="eastAsia" w:ascii="仿宋" w:hAnsi="仿宋" w:eastAsia="仿宋"/>
          <w:b/>
          <w:bCs/>
          <w:sz w:val="30"/>
          <w:szCs w:val="30"/>
        </w:rPr>
      </w:pPr>
      <w:r>
        <w:rPr>
          <w:rFonts w:hint="eastAsia" w:ascii="仿宋" w:hAnsi="仿宋" w:eastAsia="仿宋"/>
          <w:b/>
          <w:bCs/>
          <w:sz w:val="30"/>
          <w:szCs w:val="30"/>
        </w:rPr>
        <w:t>1、HIS、EMR系统等级保护测评</w:t>
      </w:r>
    </w:p>
    <w:p w14:paraId="3AAA6B45">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医院HIS和EMR（电子病历）两个系统按照《信息安全等级保护管理办法》、《信息系统安全保护等级实施指南》，遵循《网络安全等级保护基本要求》（GB/T22239-2019））等技术标准，从每个信息系统的安全物理环境、安全通信网络、安全区域边界、安全计算环境、安全管理中心、安全管理制度、安全管理机构、安全管理人员、安全建设管理、安全运维管理等10个层面进行测评，并参考被测单位自身信息安全管理要求，从安全控制间、层面间、区域间和系统结构间的综合分析进行整体测评。</w:t>
      </w:r>
    </w:p>
    <w:p w14:paraId="36E1FD19">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交付成果：获得监管机关颁发的《信息系统安全等级保护备案证明》。</w:t>
      </w:r>
    </w:p>
    <w:p w14:paraId="345BD3BB">
      <w:pPr>
        <w:spacing w:after="0" w:line="480" w:lineRule="exact"/>
        <w:ind w:firstLine="600" w:firstLineChars="200"/>
        <w:rPr>
          <w:rFonts w:hint="eastAsia" w:ascii="仿宋" w:hAnsi="仿宋" w:eastAsia="仿宋"/>
          <w:sz w:val="30"/>
          <w:szCs w:val="30"/>
        </w:rPr>
      </w:pPr>
    </w:p>
    <w:p w14:paraId="1496797D">
      <w:pPr>
        <w:spacing w:after="0" w:line="480" w:lineRule="exact"/>
        <w:ind w:firstLine="602" w:firstLineChars="200"/>
        <w:rPr>
          <w:rFonts w:hint="eastAsia" w:ascii="仿宋" w:hAnsi="仿宋" w:eastAsia="仿宋"/>
          <w:b/>
          <w:bCs/>
          <w:sz w:val="30"/>
          <w:szCs w:val="30"/>
        </w:rPr>
      </w:pPr>
      <w:r>
        <w:rPr>
          <w:rFonts w:hint="eastAsia" w:ascii="仿宋" w:hAnsi="仿宋" w:eastAsia="仿宋"/>
          <w:b/>
          <w:bCs/>
          <w:sz w:val="30"/>
          <w:szCs w:val="30"/>
        </w:rPr>
        <w:t>二、应急响应技术服务</w:t>
      </w:r>
    </w:p>
    <w:p w14:paraId="6BBF7544">
      <w:pPr>
        <w:spacing w:after="0" w:line="480" w:lineRule="exact"/>
        <w:ind w:firstLine="600" w:firstLineChars="200"/>
        <w:rPr>
          <w:rFonts w:hint="default" w:ascii="仿宋" w:hAnsi="仿宋" w:eastAsia="仿宋"/>
          <w:sz w:val="30"/>
          <w:szCs w:val="30"/>
          <w:lang w:val="en-US" w:eastAsia="zh-CN"/>
        </w:rPr>
      </w:pPr>
      <w:r>
        <w:rPr>
          <w:rFonts w:hint="eastAsia" w:ascii="仿宋" w:hAnsi="仿宋" w:eastAsia="仿宋"/>
          <w:sz w:val="30"/>
          <w:szCs w:val="30"/>
        </w:rPr>
        <w:t>具体服务内容：采购人单位发生安全事件时，供应商对安全事件进行响应、抑制、解决的安全服务。当采购人单位发生黑客入侵、系统崩溃或其它影响业务正常运行的安全事件时，服务商第一时间赶到事件现场，安排具有网络安全资深人员和应急响应工作经验丰富技术人员完成实施工作，最短时间内使网络信息系统恢复正常工作，帮助查找入侵来源，进行入侵分析，出具《安全事件应急响应分析报告》。应急响应服务包含但不限于大规模病毒爆发响应、系统入侵事件响应、主机、网络异常响应、拒绝服务攻击响应等。为保障应急服务质量，供应商团队必须具备较高的应急服务专业技能</w:t>
      </w:r>
      <w:r>
        <w:rPr>
          <w:rFonts w:hint="eastAsia" w:ascii="仿宋" w:hAnsi="仿宋" w:eastAsia="仿宋"/>
          <w:sz w:val="30"/>
          <w:szCs w:val="30"/>
          <w:lang w:eastAsia="zh-CN"/>
        </w:rPr>
        <w:t>，</w:t>
      </w:r>
      <w:r>
        <w:rPr>
          <w:rFonts w:hint="eastAsia" w:ascii="仿宋" w:hAnsi="仿宋" w:eastAsia="仿宋"/>
          <w:sz w:val="30"/>
          <w:szCs w:val="30"/>
        </w:rPr>
        <w:t>需提供</w:t>
      </w:r>
      <w:r>
        <w:rPr>
          <w:rFonts w:hint="eastAsia" w:ascii="仿宋" w:hAnsi="仿宋" w:eastAsia="仿宋"/>
          <w:sz w:val="30"/>
          <w:szCs w:val="30"/>
          <w:lang w:val="en-US" w:eastAsia="zh-CN"/>
        </w:rPr>
        <w:t>应急响应相关资质证明材料。</w:t>
      </w:r>
    </w:p>
    <w:p w14:paraId="4E841DBA">
      <w:pPr>
        <w:spacing w:after="0" w:line="480" w:lineRule="exact"/>
        <w:ind w:firstLine="600" w:firstLineChars="200"/>
        <w:rPr>
          <w:rFonts w:hint="eastAsia" w:ascii="仿宋" w:hAnsi="仿宋" w:eastAsia="仿宋"/>
          <w:sz w:val="30"/>
          <w:szCs w:val="30"/>
        </w:rPr>
      </w:pPr>
      <w:bookmarkStart w:id="1" w:name="_GoBack"/>
      <w:bookmarkEnd w:id="1"/>
    </w:p>
    <w:p w14:paraId="2B02AF22">
      <w:pPr>
        <w:spacing w:after="0" w:line="480" w:lineRule="exact"/>
        <w:ind w:firstLine="602" w:firstLineChars="200"/>
        <w:rPr>
          <w:rFonts w:hint="eastAsia" w:ascii="仿宋" w:hAnsi="仿宋" w:eastAsia="仿宋"/>
          <w:b/>
          <w:bCs/>
          <w:sz w:val="30"/>
          <w:szCs w:val="30"/>
        </w:rPr>
      </w:pPr>
      <w:r>
        <w:rPr>
          <w:rFonts w:hint="eastAsia" w:ascii="仿宋" w:hAnsi="仿宋" w:eastAsia="仿宋"/>
          <w:b/>
          <w:bCs/>
          <w:sz w:val="30"/>
          <w:szCs w:val="30"/>
        </w:rPr>
        <w:t>三、网络安全培训服务</w:t>
      </w:r>
    </w:p>
    <w:p w14:paraId="210587E4">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1）开展信息安全技术和等级保护政策培训，分析最前沿的信息安全形势，了解信息安全技术、等级保护流程和指导标准的有效使用，提升全员安全意识，建立长效机制促使信息安全管理措施的落实到位。每年至少开展一次培训，培训课程应包括但不限于“网络安全等级保护工作解析、网络安全等级保护基本要求、信息安全管理体系、网络安全整改实施、网络安全入侵常见手法及加固方法、网络安全竞赛技术培训”等内容。</w:t>
      </w:r>
    </w:p>
    <w:p w14:paraId="6C3AF5D1">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交付成果（包括但不限于）:《网络安全培训纪要》、培训课件。</w:t>
      </w:r>
    </w:p>
    <w:p w14:paraId="2CF53169">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（2）提供CISP-PTE认证培训。供应商需提供2人次注册信息安全专业CISP-PTE方向的现场实训及考试，提升医院安全人员综合安全能力来保障业务安全稳定的开展，以满足关键信息安全岗位人员的能力要求。</w:t>
      </w:r>
    </w:p>
    <w:p w14:paraId="557564EE">
      <w:pPr>
        <w:spacing w:after="0" w:line="480" w:lineRule="exact"/>
        <w:ind w:firstLine="600" w:firstLineChars="200"/>
        <w:rPr>
          <w:rFonts w:hint="eastAsia" w:ascii="仿宋" w:hAnsi="仿宋" w:eastAsia="仿宋"/>
          <w:sz w:val="30"/>
          <w:szCs w:val="30"/>
        </w:rPr>
      </w:pPr>
      <w:r>
        <w:rPr>
          <w:rFonts w:hint="eastAsia" w:ascii="仿宋" w:hAnsi="仿宋" w:eastAsia="仿宋"/>
          <w:sz w:val="30"/>
          <w:szCs w:val="30"/>
        </w:rPr>
        <w:t>交付成果：通过考试后获得合格证书</w:t>
      </w:r>
    </w:p>
    <w:p w14:paraId="0D5A303C">
      <w:pPr>
        <w:spacing w:after="0" w:line="480" w:lineRule="exact"/>
        <w:ind w:firstLine="600" w:firstLineChars="200"/>
        <w:rPr>
          <w:rFonts w:hint="eastAsia"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AD1F80"/>
    <w:multiLevelType w:val="multilevel"/>
    <w:tmpl w:val="33AD1F80"/>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80" w:hanging="440"/>
      </w:pPr>
    </w:lvl>
    <w:lvl w:ilvl="2" w:tentative="0">
      <w:start w:val="1"/>
      <w:numFmt w:val="lowerRoman"/>
      <w:lvlText w:val="%3."/>
      <w:lvlJc w:val="right"/>
      <w:pPr>
        <w:ind w:left="1920" w:hanging="440"/>
      </w:pPr>
    </w:lvl>
    <w:lvl w:ilvl="3" w:tentative="0">
      <w:start w:val="1"/>
      <w:numFmt w:val="decimal"/>
      <w:lvlText w:val="%4."/>
      <w:lvlJc w:val="left"/>
      <w:pPr>
        <w:ind w:left="2360" w:hanging="440"/>
      </w:pPr>
    </w:lvl>
    <w:lvl w:ilvl="4" w:tentative="0">
      <w:start w:val="1"/>
      <w:numFmt w:val="lowerLetter"/>
      <w:lvlText w:val="%5)"/>
      <w:lvlJc w:val="left"/>
      <w:pPr>
        <w:ind w:left="2800" w:hanging="440"/>
      </w:pPr>
    </w:lvl>
    <w:lvl w:ilvl="5" w:tentative="0">
      <w:start w:val="1"/>
      <w:numFmt w:val="lowerRoman"/>
      <w:lvlText w:val="%6."/>
      <w:lvlJc w:val="right"/>
      <w:pPr>
        <w:ind w:left="3240" w:hanging="440"/>
      </w:pPr>
    </w:lvl>
    <w:lvl w:ilvl="6" w:tentative="0">
      <w:start w:val="1"/>
      <w:numFmt w:val="decimal"/>
      <w:lvlText w:val="%7."/>
      <w:lvlJc w:val="left"/>
      <w:pPr>
        <w:ind w:left="3680" w:hanging="440"/>
      </w:pPr>
    </w:lvl>
    <w:lvl w:ilvl="7" w:tentative="0">
      <w:start w:val="1"/>
      <w:numFmt w:val="lowerLetter"/>
      <w:lvlText w:val="%8)"/>
      <w:lvlJc w:val="left"/>
      <w:pPr>
        <w:ind w:left="4120" w:hanging="440"/>
      </w:pPr>
    </w:lvl>
    <w:lvl w:ilvl="8" w:tentative="0">
      <w:start w:val="1"/>
      <w:numFmt w:val="lowerRoman"/>
      <w:lvlText w:val="%9."/>
      <w:lvlJc w:val="right"/>
      <w:pPr>
        <w:ind w:left="45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OTE2MTk5Yjc2OWM5NmFmYzVmYTQ3OGU0ZDBhOWMifQ=="/>
  </w:docVars>
  <w:rsids>
    <w:rsidRoot w:val="00F80C72"/>
    <w:rsid w:val="001842F8"/>
    <w:rsid w:val="002D2896"/>
    <w:rsid w:val="004E4274"/>
    <w:rsid w:val="00592AFB"/>
    <w:rsid w:val="00676B0F"/>
    <w:rsid w:val="006E56E3"/>
    <w:rsid w:val="007C11B0"/>
    <w:rsid w:val="009B7D11"/>
    <w:rsid w:val="00A5168A"/>
    <w:rsid w:val="00BC77E3"/>
    <w:rsid w:val="00DD6F91"/>
    <w:rsid w:val="00F80C72"/>
    <w:rsid w:val="00F9734D"/>
    <w:rsid w:val="11F13C42"/>
    <w:rsid w:val="32A04FEB"/>
    <w:rsid w:val="75182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2"/>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spacing w:line="240" w:lineRule="auto"/>
    </w:pPr>
    <w:rPr>
      <w:sz w:val="18"/>
      <w:szCs w:val="18"/>
    </w:rPr>
  </w:style>
  <w:style w:type="paragraph" w:styleId="12">
    <w:name w:val="header"/>
    <w:basedOn w:val="1"/>
    <w:link w:val="35"/>
    <w:unhideWhenUsed/>
    <w:qFormat/>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6"/>
    <w:link w:val="4"/>
    <w:semiHidden/>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6"/>
    <w:link w:val="5"/>
    <w:semiHidden/>
    <w:qFormat/>
    <w:uiPriority w:val="9"/>
    <w:rPr>
      <w:rFonts w:cstheme="majorBidi"/>
      <w:color w:val="104862" w:themeColor="accent1" w:themeShade="BF"/>
      <w:sz w:val="28"/>
      <w:szCs w:val="28"/>
    </w:rPr>
  </w:style>
  <w:style w:type="character" w:customStyle="1" w:styleId="21">
    <w:name w:val="标题 5 字符"/>
    <w:basedOn w:val="16"/>
    <w:link w:val="6"/>
    <w:semiHidden/>
    <w:qFormat/>
    <w:uiPriority w:val="9"/>
    <w:rPr>
      <w:rFonts w:cstheme="majorBidi"/>
      <w:color w:val="104862" w:themeColor="accent1" w:themeShade="BF"/>
      <w:sz w:val="24"/>
    </w:rPr>
  </w:style>
  <w:style w:type="character" w:customStyle="1" w:styleId="22">
    <w:name w:val="标题 6 字符"/>
    <w:basedOn w:val="16"/>
    <w:link w:val="7"/>
    <w:semiHidden/>
    <w:uiPriority w:val="9"/>
    <w:rPr>
      <w:rFonts w:cstheme="majorBidi"/>
      <w:b/>
      <w:bCs/>
      <w:color w:val="104862"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6"/>
    <w:link w:val="32"/>
    <w:qFormat/>
    <w:uiPriority w:val="30"/>
    <w:rPr>
      <w:i/>
      <w:iCs/>
      <w:color w:val="104862" w:themeColor="accent1" w:themeShade="BF"/>
    </w:rPr>
  </w:style>
  <w:style w:type="character" w:customStyle="1" w:styleId="34">
    <w:name w:val="Intense Reference"/>
    <w:basedOn w:val="16"/>
    <w:qFormat/>
    <w:uiPriority w:val="32"/>
    <w:rPr>
      <w:b/>
      <w:bCs/>
      <w:smallCaps/>
      <w:color w:val="104862"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982</Words>
  <Characters>1022</Characters>
  <Lines>7</Lines>
  <Paragraphs>2</Paragraphs>
  <TotalTime>7</TotalTime>
  <ScaleCrop>false</ScaleCrop>
  <LinksUpToDate>false</LinksUpToDate>
  <CharactersWithSpaces>1022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2024-10-24T02:14:00Z</dcterms:created>
  <dc:creator>旭红 刘</dc:creator>
  <cp:lastModifiedBy>忘记错对</cp:lastModifiedBy>
  <dcterms:modified xsi:type="dcterms:W3CDTF">2024-11-04T03:58:52Z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B71BB85E072D4ADD8CF41C4EDA8D7153_12</vt:lpwstr>
  </property>
</Properties>
</file>