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20A034">
      <w:pPr>
        <w:jc w:val="center"/>
        <w:rPr>
          <w:rFonts w:hint="default" w:ascii="宋体" w:hAnsi="宋体" w:eastAsia="宋体" w:cs="Times New Roman"/>
          <w:b/>
          <w:sz w:val="36"/>
          <w:szCs w:val="36"/>
          <w:lang w:val="en-US" w:eastAsia="zh-CN"/>
        </w:rPr>
      </w:pPr>
      <w:r>
        <w:rPr>
          <w:rFonts w:hint="eastAsia" w:ascii="宋体" w:hAnsi="宋体" w:eastAsia="宋体" w:cs="Times New Roman"/>
          <w:b/>
          <w:sz w:val="36"/>
          <w:szCs w:val="36"/>
          <w:lang w:val="en-US" w:eastAsia="zh-CN"/>
        </w:rPr>
        <w:t>成本及预算软件需求</w:t>
      </w:r>
    </w:p>
    <w:p w14:paraId="37A983CE">
      <w:pPr>
        <w:keepNext/>
        <w:keepLines/>
        <w:numPr>
          <w:ilvl w:val="1"/>
          <w:numId w:val="2"/>
        </w:numPr>
        <w:tabs>
          <w:tab w:val="left" w:pos="1996"/>
          <w:tab w:val="clear" w:pos="0"/>
        </w:tabs>
        <w:spacing w:line="360" w:lineRule="auto"/>
        <w:ind w:left="578" w:hanging="578"/>
        <w:jc w:val="left"/>
        <w:outlineLvl w:val="0"/>
        <w:rPr>
          <w:rFonts w:hint="eastAsia" w:ascii="宋体" w:hAnsi="宋体" w:cs="宋体"/>
          <w:b/>
          <w:bCs/>
          <w:sz w:val="24"/>
        </w:rPr>
      </w:pPr>
      <w:bookmarkStart w:id="0" w:name="_Toc12059_WPSOffice_Level1"/>
      <w:r>
        <w:rPr>
          <w:rFonts w:hint="eastAsia" w:ascii="宋体" w:hAnsi="宋体" w:cs="宋体"/>
          <w:b/>
          <w:bCs/>
          <w:sz w:val="24"/>
        </w:rPr>
        <w:t>总体要求</w:t>
      </w:r>
    </w:p>
    <w:bookmarkEnd w:id="0"/>
    <w:p w14:paraId="77DA90CA">
      <w:pPr>
        <w:spacing w:line="360" w:lineRule="auto"/>
        <w:ind w:firstLine="480" w:firstLineChars="200"/>
        <w:jc w:val="left"/>
        <w:rPr>
          <w:rFonts w:hint="eastAsia" w:ascii="宋体" w:hAnsi="宋体" w:cs="宋体"/>
          <w:sz w:val="24"/>
        </w:rPr>
      </w:pPr>
      <w:r>
        <w:rPr>
          <w:rFonts w:hint="eastAsia" w:ascii="宋体" w:hAnsi="宋体" w:cs="宋体"/>
          <w:sz w:val="24"/>
          <w:lang w:eastAsia="zh-CN"/>
        </w:rPr>
        <w:t>实现医院成本、预算精细化管理，促进医院高质量发展。</w:t>
      </w:r>
    </w:p>
    <w:p w14:paraId="2BD5F8A0">
      <w:pPr>
        <w:keepNext/>
        <w:keepLines/>
        <w:numPr>
          <w:ilvl w:val="1"/>
          <w:numId w:val="2"/>
        </w:numPr>
        <w:tabs>
          <w:tab w:val="left" w:pos="1996"/>
          <w:tab w:val="clear" w:pos="0"/>
        </w:tabs>
        <w:spacing w:line="360" w:lineRule="auto"/>
        <w:ind w:left="578" w:hanging="578"/>
        <w:jc w:val="left"/>
        <w:outlineLvl w:val="0"/>
        <w:rPr>
          <w:rFonts w:hint="eastAsia" w:ascii="宋体" w:hAnsi="宋体" w:cs="宋体"/>
          <w:b/>
          <w:bCs/>
          <w:sz w:val="24"/>
        </w:rPr>
      </w:pPr>
      <w:r>
        <w:rPr>
          <w:rFonts w:hint="eastAsia" w:ascii="宋体" w:hAnsi="宋体" w:cs="宋体"/>
          <w:b/>
          <w:bCs/>
          <w:sz w:val="24"/>
        </w:rPr>
        <w:t>建设内容</w:t>
      </w:r>
    </w:p>
    <w:tbl>
      <w:tblPr>
        <w:tblStyle w:val="9"/>
        <w:tblW w:w="85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9"/>
        <w:gridCol w:w="5355"/>
        <w:gridCol w:w="1155"/>
        <w:gridCol w:w="990"/>
      </w:tblGrid>
      <w:tr w14:paraId="56FD3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9" w:type="dxa"/>
            <w:vAlign w:val="center"/>
          </w:tcPr>
          <w:p w14:paraId="368BDFEC">
            <w:pPr>
              <w:pStyle w:val="4"/>
              <w:spacing w:after="0" w:line="360" w:lineRule="auto"/>
              <w:jc w:val="center"/>
              <w:rPr>
                <w:rFonts w:hint="eastAsia" w:ascii="宋体" w:hAnsi="宋体" w:cs="宋体"/>
                <w:sz w:val="24"/>
              </w:rPr>
            </w:pPr>
            <w:bookmarkStart w:id="1" w:name="_Hlk120135677"/>
            <w:r>
              <w:rPr>
                <w:rFonts w:hint="eastAsia" w:ascii="宋体" w:hAnsi="宋体" w:cs="宋体"/>
                <w:sz w:val="24"/>
              </w:rPr>
              <w:t>序号</w:t>
            </w:r>
          </w:p>
        </w:tc>
        <w:tc>
          <w:tcPr>
            <w:tcW w:w="5355" w:type="dxa"/>
            <w:vAlign w:val="center"/>
          </w:tcPr>
          <w:p w14:paraId="6DBD5725">
            <w:pPr>
              <w:pStyle w:val="4"/>
              <w:spacing w:after="0" w:line="360" w:lineRule="auto"/>
              <w:jc w:val="center"/>
              <w:rPr>
                <w:rFonts w:hint="eastAsia" w:ascii="宋体" w:hAnsi="宋体" w:cs="宋体"/>
                <w:sz w:val="24"/>
              </w:rPr>
            </w:pPr>
            <w:r>
              <w:rPr>
                <w:rFonts w:hint="eastAsia" w:ascii="宋体" w:hAnsi="宋体" w:cs="宋体"/>
                <w:sz w:val="24"/>
              </w:rPr>
              <w:t>系统模块</w:t>
            </w:r>
          </w:p>
        </w:tc>
        <w:tc>
          <w:tcPr>
            <w:tcW w:w="1155" w:type="dxa"/>
            <w:vAlign w:val="center"/>
          </w:tcPr>
          <w:p w14:paraId="5AA6848B">
            <w:pPr>
              <w:pStyle w:val="4"/>
              <w:spacing w:after="0" w:line="360" w:lineRule="auto"/>
              <w:jc w:val="center"/>
              <w:rPr>
                <w:rFonts w:hint="eastAsia" w:ascii="宋体" w:hAnsi="宋体" w:cs="宋体"/>
                <w:sz w:val="24"/>
              </w:rPr>
            </w:pPr>
            <w:r>
              <w:rPr>
                <w:rFonts w:hint="eastAsia" w:ascii="宋体" w:hAnsi="宋体" w:cs="宋体"/>
                <w:sz w:val="24"/>
              </w:rPr>
              <w:t>数量</w:t>
            </w:r>
          </w:p>
        </w:tc>
        <w:tc>
          <w:tcPr>
            <w:tcW w:w="990" w:type="dxa"/>
            <w:vAlign w:val="center"/>
          </w:tcPr>
          <w:p w14:paraId="162249C0">
            <w:pPr>
              <w:pStyle w:val="4"/>
              <w:spacing w:after="0" w:line="360" w:lineRule="auto"/>
              <w:jc w:val="center"/>
              <w:rPr>
                <w:rFonts w:hint="eastAsia" w:ascii="宋体" w:hAnsi="宋体" w:cs="宋体"/>
                <w:sz w:val="24"/>
              </w:rPr>
            </w:pPr>
            <w:r>
              <w:rPr>
                <w:rFonts w:hint="eastAsia" w:ascii="宋体" w:hAnsi="宋体" w:cs="宋体"/>
                <w:sz w:val="24"/>
              </w:rPr>
              <w:t>单位</w:t>
            </w:r>
          </w:p>
        </w:tc>
      </w:tr>
      <w:tr w14:paraId="5C292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9" w:type="dxa"/>
          </w:tcPr>
          <w:p w14:paraId="065D44DE">
            <w:pPr>
              <w:spacing w:before="76" w:line="360" w:lineRule="auto"/>
              <w:jc w:val="center"/>
              <w:rPr>
                <w:rFonts w:hint="eastAsia" w:ascii="宋体" w:hAnsi="宋体" w:eastAsia="宋体" w:cs="宋体"/>
                <w:snapToGrid w:val="0"/>
                <w:color w:val="000000"/>
                <w:spacing w:val="-7"/>
                <w:kern w:val="0"/>
                <w:sz w:val="24"/>
              </w:rPr>
            </w:pPr>
            <w:r>
              <w:rPr>
                <w:rFonts w:hint="eastAsia" w:ascii="宋体" w:hAnsi="宋体" w:eastAsia="宋体" w:cs="宋体"/>
                <w:snapToGrid w:val="0"/>
                <w:color w:val="000000"/>
                <w:spacing w:val="-7"/>
                <w:kern w:val="0"/>
                <w:sz w:val="24"/>
              </w:rPr>
              <w:t>1</w:t>
            </w:r>
          </w:p>
        </w:tc>
        <w:tc>
          <w:tcPr>
            <w:tcW w:w="5355" w:type="dxa"/>
            <w:vAlign w:val="center"/>
          </w:tcPr>
          <w:p w14:paraId="1A72D69A">
            <w:pPr>
              <w:spacing w:line="360" w:lineRule="auto"/>
              <w:jc w:val="center"/>
              <w:rPr>
                <w:rFonts w:hint="eastAsia" w:ascii="宋体" w:hAnsi="宋体" w:eastAsia="宋体" w:cs="宋体"/>
                <w:snapToGrid w:val="0"/>
                <w:color w:val="000000"/>
                <w:spacing w:val="-7"/>
                <w:kern w:val="0"/>
                <w:sz w:val="24"/>
              </w:rPr>
            </w:pPr>
            <w:r>
              <w:rPr>
                <w:rFonts w:hint="eastAsia" w:ascii="宋体" w:hAnsi="宋体" w:eastAsia="宋体" w:cs="宋体"/>
                <w:snapToGrid w:val="0"/>
                <w:color w:val="000000"/>
                <w:spacing w:val="-7"/>
                <w:kern w:val="0"/>
                <w:sz w:val="24"/>
              </w:rPr>
              <w:t>全面预算</w:t>
            </w:r>
          </w:p>
        </w:tc>
        <w:tc>
          <w:tcPr>
            <w:tcW w:w="1155" w:type="dxa"/>
            <w:vAlign w:val="center"/>
          </w:tcPr>
          <w:p w14:paraId="4E16CA21">
            <w:pPr>
              <w:spacing w:line="360" w:lineRule="auto"/>
              <w:jc w:val="center"/>
              <w:rPr>
                <w:rFonts w:hint="eastAsia" w:ascii="宋体" w:hAnsi="宋体" w:eastAsia="宋体" w:cs="宋体"/>
                <w:snapToGrid w:val="0"/>
                <w:color w:val="000000"/>
                <w:spacing w:val="-7"/>
                <w:kern w:val="0"/>
                <w:sz w:val="24"/>
              </w:rPr>
            </w:pPr>
            <w:r>
              <w:rPr>
                <w:rFonts w:hint="eastAsia" w:ascii="宋体" w:hAnsi="宋体" w:eastAsia="宋体" w:cs="宋体"/>
                <w:snapToGrid w:val="0"/>
                <w:color w:val="000000"/>
                <w:spacing w:val="-7"/>
                <w:kern w:val="0"/>
                <w:sz w:val="24"/>
              </w:rPr>
              <w:t>1</w:t>
            </w:r>
          </w:p>
        </w:tc>
        <w:tc>
          <w:tcPr>
            <w:tcW w:w="990" w:type="dxa"/>
            <w:vAlign w:val="center"/>
          </w:tcPr>
          <w:p w14:paraId="0091FB75">
            <w:pPr>
              <w:spacing w:line="360" w:lineRule="auto"/>
              <w:jc w:val="center"/>
              <w:rPr>
                <w:rFonts w:hint="eastAsia" w:ascii="宋体" w:hAnsi="宋体" w:eastAsia="宋体" w:cs="宋体"/>
                <w:snapToGrid w:val="0"/>
                <w:color w:val="000000"/>
                <w:spacing w:val="-7"/>
                <w:kern w:val="0"/>
                <w:sz w:val="24"/>
              </w:rPr>
            </w:pPr>
            <w:r>
              <w:rPr>
                <w:rFonts w:hint="eastAsia" w:ascii="宋体" w:hAnsi="宋体" w:eastAsia="宋体" w:cs="宋体"/>
                <w:snapToGrid w:val="0"/>
                <w:color w:val="000000"/>
                <w:spacing w:val="-7"/>
                <w:kern w:val="0"/>
                <w:sz w:val="24"/>
              </w:rPr>
              <w:t>套</w:t>
            </w:r>
          </w:p>
        </w:tc>
      </w:tr>
      <w:tr w14:paraId="3218A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9" w:type="dxa"/>
          </w:tcPr>
          <w:p w14:paraId="592EB33B">
            <w:pPr>
              <w:spacing w:before="76" w:line="360" w:lineRule="auto"/>
              <w:jc w:val="center"/>
              <w:rPr>
                <w:rFonts w:hint="eastAsia" w:ascii="宋体" w:hAnsi="宋体" w:eastAsia="宋体" w:cs="宋体"/>
                <w:snapToGrid w:val="0"/>
                <w:color w:val="000000"/>
                <w:spacing w:val="-7"/>
                <w:kern w:val="0"/>
                <w:sz w:val="24"/>
              </w:rPr>
            </w:pPr>
            <w:r>
              <w:rPr>
                <w:rFonts w:hint="eastAsia" w:ascii="宋体" w:hAnsi="宋体" w:eastAsia="宋体" w:cs="宋体"/>
                <w:snapToGrid w:val="0"/>
                <w:color w:val="000000"/>
                <w:spacing w:val="-7"/>
                <w:kern w:val="0"/>
                <w:sz w:val="24"/>
              </w:rPr>
              <w:t>2</w:t>
            </w:r>
          </w:p>
        </w:tc>
        <w:tc>
          <w:tcPr>
            <w:tcW w:w="5355" w:type="dxa"/>
            <w:vAlign w:val="center"/>
          </w:tcPr>
          <w:p w14:paraId="428DDA08">
            <w:pPr>
              <w:spacing w:line="360" w:lineRule="auto"/>
              <w:jc w:val="center"/>
              <w:rPr>
                <w:rFonts w:hint="eastAsia" w:ascii="宋体" w:hAnsi="宋体" w:eastAsia="宋体" w:cs="宋体"/>
                <w:snapToGrid w:val="0"/>
                <w:color w:val="000000"/>
                <w:spacing w:val="-7"/>
                <w:kern w:val="0"/>
                <w:sz w:val="24"/>
              </w:rPr>
            </w:pPr>
            <w:r>
              <w:rPr>
                <w:rFonts w:hint="eastAsia" w:ascii="宋体" w:hAnsi="宋体" w:eastAsia="宋体" w:cs="宋体"/>
                <w:snapToGrid w:val="0"/>
                <w:color w:val="000000"/>
                <w:spacing w:val="-7"/>
                <w:kern w:val="0"/>
                <w:sz w:val="24"/>
              </w:rPr>
              <w:t>科室全成本核算</w:t>
            </w:r>
          </w:p>
        </w:tc>
        <w:tc>
          <w:tcPr>
            <w:tcW w:w="1155" w:type="dxa"/>
            <w:vAlign w:val="center"/>
          </w:tcPr>
          <w:p w14:paraId="33EC844B">
            <w:pPr>
              <w:spacing w:line="360" w:lineRule="auto"/>
              <w:jc w:val="center"/>
              <w:rPr>
                <w:rFonts w:hint="eastAsia" w:ascii="宋体" w:hAnsi="宋体" w:eastAsia="宋体" w:cs="宋体"/>
                <w:snapToGrid w:val="0"/>
                <w:color w:val="000000"/>
                <w:spacing w:val="-7"/>
                <w:kern w:val="0"/>
                <w:sz w:val="24"/>
              </w:rPr>
            </w:pPr>
            <w:r>
              <w:rPr>
                <w:rFonts w:hint="eastAsia" w:ascii="宋体" w:hAnsi="宋体" w:eastAsia="宋体" w:cs="宋体"/>
                <w:snapToGrid w:val="0"/>
                <w:color w:val="000000"/>
                <w:spacing w:val="-7"/>
                <w:kern w:val="0"/>
                <w:sz w:val="24"/>
              </w:rPr>
              <w:t>1</w:t>
            </w:r>
          </w:p>
        </w:tc>
        <w:tc>
          <w:tcPr>
            <w:tcW w:w="990" w:type="dxa"/>
            <w:vAlign w:val="center"/>
          </w:tcPr>
          <w:p w14:paraId="53715476">
            <w:pPr>
              <w:spacing w:line="360" w:lineRule="auto"/>
              <w:jc w:val="center"/>
              <w:rPr>
                <w:rFonts w:hint="eastAsia" w:ascii="宋体" w:hAnsi="宋体" w:eastAsia="宋体" w:cs="宋体"/>
                <w:snapToGrid w:val="0"/>
                <w:color w:val="000000"/>
                <w:spacing w:val="-7"/>
                <w:kern w:val="0"/>
                <w:sz w:val="24"/>
              </w:rPr>
            </w:pPr>
            <w:r>
              <w:rPr>
                <w:rFonts w:hint="eastAsia" w:ascii="宋体" w:hAnsi="宋体" w:eastAsia="宋体" w:cs="宋体"/>
                <w:snapToGrid w:val="0"/>
                <w:color w:val="000000"/>
                <w:spacing w:val="-7"/>
                <w:kern w:val="0"/>
                <w:sz w:val="24"/>
              </w:rPr>
              <w:t>套</w:t>
            </w:r>
          </w:p>
        </w:tc>
      </w:tr>
      <w:bookmarkEnd w:id="1"/>
    </w:tbl>
    <w:p w14:paraId="23066952">
      <w:pPr>
        <w:pStyle w:val="2"/>
        <w:numPr>
          <w:ilvl w:val="0"/>
          <w:numId w:val="3"/>
        </w:numPr>
        <w:spacing w:before="0" w:after="0" w:line="360" w:lineRule="auto"/>
        <w:rPr>
          <w:rFonts w:hint="eastAsia" w:ascii="宋体" w:hAnsi="宋体" w:cs="宋体"/>
          <w:sz w:val="24"/>
        </w:rPr>
      </w:pPr>
      <w:r>
        <w:rPr>
          <w:rFonts w:hint="eastAsia" w:ascii="宋体" w:hAnsi="宋体" w:cs="宋体"/>
          <w:sz w:val="24"/>
        </w:rPr>
        <w:t>全面预算</w:t>
      </w:r>
    </w:p>
    <w:p w14:paraId="41BD2EAA">
      <w:pPr>
        <w:pStyle w:val="4"/>
        <w:numPr>
          <w:numId w:val="0"/>
        </w:numPr>
        <w:spacing w:after="0" w:line="360" w:lineRule="auto"/>
        <w:ind w:leftChars="0"/>
        <w:outlineLvl w:val="1"/>
        <w:rPr>
          <w:rFonts w:hint="eastAsia" w:ascii="宋体" w:hAnsi="宋体" w:cs="宋体"/>
          <w:sz w:val="24"/>
        </w:rPr>
      </w:pPr>
      <w:r>
        <w:rPr>
          <w:rFonts w:hint="eastAsia" w:ascii="宋体" w:hAnsi="宋体" w:cs="宋体"/>
          <w:b/>
          <w:bCs/>
          <w:color w:val="000000" w:themeColor="text1"/>
          <w:sz w:val="24"/>
          <w14:textFill>
            <w14:solidFill>
              <w14:schemeClr w14:val="tx1"/>
            </w14:solidFill>
          </w14:textFill>
        </w:rPr>
        <w:t>总体要求</w:t>
      </w:r>
      <w:r>
        <w:rPr>
          <w:rFonts w:hint="eastAsia" w:ascii="宋体" w:hAnsi="宋体" w:cs="宋体"/>
          <w:b/>
          <w:bCs/>
          <w:color w:val="000000" w:themeColor="text1"/>
          <w:sz w:val="24"/>
          <w:lang w:eastAsia="zh-CN"/>
          <w14:textFill>
            <w14:solidFill>
              <w14:schemeClr w14:val="tx1"/>
            </w14:solidFill>
          </w14:textFill>
        </w:rPr>
        <w:t>：</w:t>
      </w:r>
      <w:r>
        <w:rPr>
          <w:rFonts w:hint="eastAsia" w:ascii="宋体" w:hAnsi="宋体" w:cs="宋体"/>
          <w:sz w:val="24"/>
        </w:rPr>
        <w:t>建立医院“编、管、控”于一体的全面预算管理体系，实现预算科学编制，强化预算控制实现医院运营管理的事前控制，事中监督和事后分析考核的全过程管理。实现预算自动核销、预算自动分析和跟踪等功能，同时预算管理系统与财务管理进行无缝对接，使各类收入支出项目得到实时控制建立预算执行的预警机制，当预算执行到设定的额度时，通过信息系统自动提醒的方式来提示用户预算执行进度状况，使管理员和预算执行者做到先知先决。</w:t>
      </w:r>
    </w:p>
    <w:p w14:paraId="2277BF5C">
      <w:pPr>
        <w:pStyle w:val="5"/>
        <w:rPr>
          <w:rFonts w:hint="eastAsia" w:hAnsi="宋体" w:cs="宋体"/>
          <w:b/>
          <w:bCs/>
          <w:color w:val="000000" w:themeColor="text1"/>
          <w:sz w:val="24"/>
          <w:lang w:val="en-US" w:eastAsia="zh-CN"/>
          <w14:textFill>
            <w14:solidFill>
              <w14:schemeClr w14:val="tx1"/>
            </w14:solidFill>
          </w14:textFill>
        </w:rPr>
      </w:pPr>
      <w:r>
        <w:rPr>
          <w:rFonts w:hint="eastAsia"/>
          <w:lang w:val="en-US" w:eastAsia="zh-CN"/>
        </w:rPr>
        <w:t>需包含以下功能模块：</w:t>
      </w:r>
      <w:r>
        <w:rPr>
          <w:rFonts w:hint="eastAsia" w:ascii="宋体" w:hAnsi="宋体" w:cs="宋体"/>
          <w:b/>
          <w:bCs/>
          <w:color w:val="000000" w:themeColor="text1"/>
          <w:sz w:val="24"/>
          <w14:textFill>
            <w14:solidFill>
              <w14:schemeClr w14:val="tx1"/>
            </w14:solidFill>
          </w14:textFill>
        </w:rPr>
        <w:t>编制管理</w:t>
      </w:r>
      <w:r>
        <w:rPr>
          <w:rFonts w:hint="eastAsia" w:hAnsi="宋体" w:cs="宋体"/>
          <w:b/>
          <w:bCs/>
          <w:color w:val="000000" w:themeColor="text1"/>
          <w:sz w:val="24"/>
          <w:lang w:eastAsia="zh-CN"/>
          <w14:textFill>
            <w14:solidFill>
              <w14:schemeClr w14:val="tx1"/>
            </w14:solidFill>
          </w14:textFill>
        </w:rPr>
        <w:t>、</w:t>
      </w:r>
      <w:r>
        <w:rPr>
          <w:rFonts w:hint="eastAsia" w:ascii="宋体" w:hAnsi="宋体" w:cs="宋体"/>
          <w:b/>
          <w:bCs/>
          <w:color w:val="000000" w:themeColor="text1"/>
          <w:sz w:val="24"/>
          <w14:textFill>
            <w14:solidFill>
              <w14:schemeClr w14:val="tx1"/>
            </w14:solidFill>
          </w14:textFill>
        </w:rPr>
        <w:t>预算催办</w:t>
      </w:r>
      <w:r>
        <w:rPr>
          <w:rFonts w:hint="eastAsia" w:hAnsi="宋体" w:cs="宋体"/>
          <w:b/>
          <w:bCs/>
          <w:color w:val="000000" w:themeColor="text1"/>
          <w:sz w:val="24"/>
          <w:lang w:eastAsia="zh-CN"/>
          <w14:textFill>
            <w14:solidFill>
              <w14:schemeClr w14:val="tx1"/>
            </w14:solidFill>
          </w14:textFill>
        </w:rPr>
        <w:t>、</w:t>
      </w:r>
      <w:r>
        <w:rPr>
          <w:rFonts w:hint="eastAsia" w:ascii="宋体" w:hAnsi="宋体" w:cs="宋体"/>
          <w:b/>
          <w:bCs/>
          <w:color w:val="000000" w:themeColor="text1"/>
          <w:sz w:val="24"/>
          <w14:textFill>
            <w14:solidFill>
              <w14:schemeClr w14:val="tx1"/>
            </w14:solidFill>
          </w14:textFill>
        </w:rPr>
        <w:t>财务指标预算</w:t>
      </w:r>
      <w:r>
        <w:rPr>
          <w:rFonts w:hint="eastAsia" w:hAnsi="宋体" w:cs="宋体"/>
          <w:b/>
          <w:bCs/>
          <w:color w:val="000000" w:themeColor="text1"/>
          <w:sz w:val="24"/>
          <w:lang w:eastAsia="zh-CN"/>
          <w14:textFill>
            <w14:solidFill>
              <w14:schemeClr w14:val="tx1"/>
            </w14:solidFill>
          </w14:textFill>
        </w:rPr>
        <w:t>、</w:t>
      </w:r>
      <w:r>
        <w:rPr>
          <w:rFonts w:hint="eastAsia" w:ascii="宋体" w:hAnsi="宋体" w:cs="宋体"/>
          <w:b/>
          <w:bCs/>
          <w:color w:val="000000" w:themeColor="text1"/>
          <w:sz w:val="24"/>
          <w14:textFill>
            <w14:solidFill>
              <w14:schemeClr w14:val="tx1"/>
            </w14:solidFill>
          </w14:textFill>
        </w:rPr>
        <w:t>业务量预算</w:t>
      </w:r>
      <w:r>
        <w:rPr>
          <w:rFonts w:hint="eastAsia" w:hAnsi="宋体" w:cs="宋体"/>
          <w:b/>
          <w:bCs/>
          <w:color w:val="000000" w:themeColor="text1"/>
          <w:sz w:val="24"/>
          <w:lang w:eastAsia="zh-CN"/>
          <w14:textFill>
            <w14:solidFill>
              <w14:schemeClr w14:val="tx1"/>
            </w14:solidFill>
          </w14:textFill>
        </w:rPr>
        <w:t>、</w:t>
      </w:r>
      <w:r>
        <w:rPr>
          <w:rFonts w:hint="eastAsia" w:ascii="宋体" w:hAnsi="宋体" w:cs="宋体"/>
          <w:b/>
          <w:bCs/>
          <w:color w:val="000000" w:themeColor="text1"/>
          <w:sz w:val="24"/>
          <w14:textFill>
            <w14:solidFill>
              <w14:schemeClr w14:val="tx1"/>
            </w14:solidFill>
          </w14:textFill>
        </w:rPr>
        <w:t>预算执行采集</w:t>
      </w:r>
      <w:r>
        <w:rPr>
          <w:rFonts w:hint="eastAsia" w:hAnsi="宋体" w:cs="宋体"/>
          <w:b/>
          <w:bCs/>
          <w:color w:val="000000" w:themeColor="text1"/>
          <w:sz w:val="24"/>
          <w:lang w:eastAsia="zh-CN"/>
          <w14:textFill>
            <w14:solidFill>
              <w14:schemeClr w14:val="tx1"/>
            </w14:solidFill>
          </w14:textFill>
        </w:rPr>
        <w:t>、</w:t>
      </w:r>
      <w:r>
        <w:rPr>
          <w:rFonts w:hint="eastAsia" w:ascii="宋体" w:hAnsi="宋体" w:cs="宋体"/>
          <w:b/>
          <w:bCs/>
          <w:color w:val="000000" w:themeColor="text1"/>
          <w:sz w:val="24"/>
          <w14:textFill>
            <w14:solidFill>
              <w14:schemeClr w14:val="tx1"/>
            </w14:solidFill>
          </w14:textFill>
        </w:rPr>
        <w:t>科室平台</w:t>
      </w:r>
      <w:r>
        <w:rPr>
          <w:rFonts w:hint="eastAsia" w:hAnsi="宋体" w:cs="宋体"/>
          <w:b/>
          <w:bCs/>
          <w:color w:val="000000" w:themeColor="text1"/>
          <w:sz w:val="24"/>
          <w:lang w:val="en-US" w:eastAsia="zh-CN"/>
          <w14:textFill>
            <w14:solidFill>
              <w14:schemeClr w14:val="tx1"/>
            </w14:solidFill>
          </w14:textFill>
        </w:rPr>
        <w:t>管理。</w:t>
      </w:r>
    </w:p>
    <w:p w14:paraId="44A5D99F">
      <w:pPr>
        <w:pStyle w:val="5"/>
        <w:rPr>
          <w:rFonts w:hint="eastAsia" w:hAnsi="宋体" w:cs="宋体"/>
          <w:b/>
          <w:bCs/>
          <w:color w:val="000000" w:themeColor="text1"/>
          <w:sz w:val="24"/>
          <w:lang w:val="en-US" w:eastAsia="zh-CN"/>
          <w14:textFill>
            <w14:solidFill>
              <w14:schemeClr w14:val="tx1"/>
            </w14:solidFill>
          </w14:textFill>
        </w:rPr>
      </w:pPr>
    </w:p>
    <w:p w14:paraId="7D2F0B5F">
      <w:pPr>
        <w:pStyle w:val="2"/>
        <w:numPr>
          <w:ilvl w:val="0"/>
          <w:numId w:val="3"/>
        </w:numPr>
        <w:spacing w:before="0" w:after="0" w:line="360" w:lineRule="auto"/>
        <w:rPr>
          <w:rFonts w:hint="eastAsia" w:ascii="宋体" w:hAnsi="宋体" w:cs="宋体"/>
          <w:sz w:val="24"/>
        </w:rPr>
      </w:pPr>
      <w:r>
        <w:rPr>
          <w:rFonts w:hint="eastAsia" w:ascii="宋体" w:hAnsi="宋体" w:cs="宋体"/>
          <w:sz w:val="24"/>
        </w:rPr>
        <w:t>科室全成本核算</w:t>
      </w:r>
    </w:p>
    <w:p w14:paraId="7AAE31DC">
      <w:pPr>
        <w:pStyle w:val="3"/>
        <w:numPr>
          <w:numId w:val="0"/>
        </w:numPr>
        <w:spacing w:before="0" w:after="0" w:line="360" w:lineRule="auto"/>
        <w:ind w:leftChars="0"/>
        <w:jc w:val="left"/>
        <w:rPr>
          <w:rFonts w:hint="eastAsia" w:ascii="宋体" w:hAnsi="宋体" w:cs="宋体" w:eastAsiaTheme="minorEastAsia"/>
          <w:b w:val="0"/>
          <w:kern w:val="2"/>
          <w:sz w:val="24"/>
          <w:szCs w:val="24"/>
          <w:lang w:val="en-US" w:eastAsia="zh-CN" w:bidi="ar-SA"/>
        </w:rPr>
      </w:pPr>
      <w:r>
        <w:rPr>
          <w:rFonts w:hint="eastAsia" w:ascii="宋体" w:hAnsi="宋体" w:cs="宋体"/>
        </w:rPr>
        <w:t>总体要求</w:t>
      </w:r>
      <w:r>
        <w:rPr>
          <w:rFonts w:hint="eastAsia" w:ascii="宋体" w:hAnsi="宋体" w:cs="宋体"/>
          <w:lang w:eastAsia="zh-CN"/>
        </w:rPr>
        <w:t>：</w:t>
      </w:r>
      <w:r>
        <w:rPr>
          <w:rFonts w:hint="eastAsia" w:ascii="宋体" w:hAnsi="宋体" w:cs="宋体" w:eastAsiaTheme="minorEastAsia"/>
          <w:b w:val="0"/>
          <w:kern w:val="2"/>
          <w:sz w:val="24"/>
          <w:szCs w:val="24"/>
          <w:lang w:val="en-US" w:eastAsia="zh-CN" w:bidi="ar-SA"/>
        </w:rPr>
        <w:t>建立医院全成本核算体系。全面支持新医院财务会计制度及医院等级评审标准对成本核算的要求，全面、真实、准确反映院区、科室提供医疗服务的成本，并找到科室的成本控制点，从而有效降低医疗运行成本。满足《政府会计制度》以及卫生系统对会计核算和成本管理的需要，遵循财务会计与责任会计体系的有机结合，建立基于全院所有核算单元的全成本核算、控制和计划体系。提供成本核算单元、成本分类、成本项目、收入项目、收费类别、收费项目、内部服务项目、分摊规则、参数值等基础信息进行维护的功能，支持科室成本、床日成本、诊次成本的归集与分摊。能够进行制度所定义的医疗成本核算、医疗全成本核算及医院全成本核算。</w:t>
      </w:r>
    </w:p>
    <w:p w14:paraId="76B3A708">
      <w:pPr>
        <w:rPr>
          <w:rFonts w:hint="eastAsia" w:ascii="宋体" w:hAnsi="宋体" w:eastAsia="宋体" w:cs="宋体"/>
          <w:b/>
          <w:bCs/>
          <w:color w:val="000000" w:themeColor="text1"/>
          <w:kern w:val="0"/>
          <w:sz w:val="24"/>
          <w:szCs w:val="24"/>
          <w:lang w:val="en-US" w:eastAsia="zh-CN" w:bidi="ar-SA"/>
          <w14:textFill>
            <w14:solidFill>
              <w14:schemeClr w14:val="tx1"/>
            </w14:solidFill>
          </w14:textFill>
        </w:rPr>
      </w:pPr>
      <w:r>
        <w:rPr>
          <w:rFonts w:hint="eastAsia" w:ascii="宋体" w:hAnsi="宋体" w:cs="宋体"/>
          <w:b w:val="0"/>
          <w:kern w:val="2"/>
          <w:sz w:val="24"/>
          <w:szCs w:val="24"/>
          <w:lang w:val="en-US" w:eastAsia="zh-CN" w:bidi="ar-SA"/>
        </w:rPr>
        <w:t>需包含以下功能模块：</w:t>
      </w: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成本分摊定义、收入信息采集、成本信息采集、业务量信息采集、成本分摊、成本分摊结果查询、成本核算报表、成本数据分析、自动平衡检测。</w:t>
      </w:r>
      <w:bookmarkStart w:id="2" w:name="_GoBack"/>
      <w:bookmarkEnd w:id="2"/>
    </w:p>
    <w:p w14:paraId="3115E5A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15BD09"/>
    <w:multiLevelType w:val="multilevel"/>
    <w:tmpl w:val="8415BD09"/>
    <w:lvl w:ilvl="0" w:tentative="0">
      <w:start w:val="1"/>
      <w:numFmt w:val="chineseCounting"/>
      <w:suff w:val="nothing"/>
      <w:lvlText w:val="%1"/>
      <w:lvlJc w:val="left"/>
      <w:pPr>
        <w:tabs>
          <w:tab w:val="left" w:pos="1996"/>
        </w:tabs>
        <w:ind w:left="432" w:hanging="432"/>
      </w:pPr>
      <w:rPr>
        <w:rFonts w:hint="eastAsia" w:ascii="宋体" w:hAnsi="宋体" w:eastAsia="宋体" w:cs="宋体"/>
      </w:rPr>
    </w:lvl>
    <w:lvl w:ilvl="1" w:tentative="0">
      <w:start w:val="1"/>
      <w:numFmt w:val="chineseCounting"/>
      <w:suff w:val="nothing"/>
      <w:lvlText w:val="%2、"/>
      <w:lvlJc w:val="left"/>
      <w:pPr>
        <w:tabs>
          <w:tab w:val="left" w:pos="0"/>
        </w:tabs>
        <w:ind w:left="1853" w:hanging="576"/>
      </w:pPr>
      <w:rPr>
        <w:rFonts w:hint="eastAsia" w:ascii="宋体" w:hAnsi="宋体" w:eastAsia="宋体" w:cs="宋体"/>
      </w:rPr>
    </w:lvl>
    <w:lvl w:ilvl="2" w:tentative="0">
      <w:start w:val="1"/>
      <w:numFmt w:val="decimal"/>
      <w:lvlText w:val="%3"/>
      <w:lvlJc w:val="left"/>
      <w:pPr>
        <w:tabs>
          <w:tab w:val="left" w:pos="720"/>
        </w:tabs>
        <w:ind w:left="720" w:hanging="720"/>
      </w:pPr>
      <w:rPr>
        <w:rFonts w:hint="eastAsia"/>
      </w:rPr>
    </w:lvl>
    <w:lvl w:ilvl="3" w:tentative="0">
      <w:start w:val="1"/>
      <w:numFmt w:val="decimal"/>
      <w:lvlText w:val="4.1.%4 "/>
      <w:lvlJc w:val="left"/>
      <w:pPr>
        <w:tabs>
          <w:tab w:val="left" w:pos="864"/>
        </w:tabs>
        <w:ind w:left="864" w:hanging="864"/>
      </w:pPr>
      <w:rPr>
        <w:rFonts w:hint="eastAsia"/>
      </w:rPr>
    </w:lvl>
    <w:lvl w:ilvl="4" w:tentative="0">
      <w:start w:val="1"/>
      <w:numFmt w:val="decimal"/>
      <w:lvlText w:val="%5）"/>
      <w:lvlJc w:val="left"/>
      <w:pPr>
        <w:tabs>
          <w:tab w:val="left" w:pos="360"/>
        </w:tabs>
        <w:ind w:left="360" w:hanging="360"/>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94B0829"/>
    <w:multiLevelType w:val="multilevel"/>
    <w:tmpl w:val="794B0829"/>
    <w:lvl w:ilvl="0" w:tentative="0">
      <w:start w:val="2"/>
      <w:numFmt w:val="decimal"/>
      <w:pStyle w:val="2"/>
      <w:lvlText w:val="%1."/>
      <w:lvlJc w:val="left"/>
      <w:pPr>
        <w:tabs>
          <w:tab w:val="left" w:pos="420"/>
        </w:tabs>
        <w:ind w:left="432" w:hanging="432"/>
      </w:pPr>
      <w:rPr>
        <w:rFonts w:hint="default" w:ascii="宋体" w:hAnsi="宋体" w:eastAsia="宋体" w:cs="宋体"/>
      </w:rPr>
    </w:lvl>
    <w:lvl w:ilvl="1" w:tentative="0">
      <w:start w:val="1"/>
      <w:numFmt w:val="decimal"/>
      <w:pStyle w:val="3"/>
      <w:suff w:val="space"/>
      <w:lvlText w:val="%1.%2."/>
      <w:lvlJc w:val="left"/>
      <w:pPr>
        <w:tabs>
          <w:tab w:val="left" w:pos="420"/>
        </w:tabs>
        <w:ind w:left="575" w:hanging="575"/>
      </w:pPr>
      <w:rPr>
        <w:rFonts w:hint="default" w:ascii="宋体" w:hAnsi="宋体" w:eastAsia="宋体" w:cs="宋体"/>
      </w:rPr>
    </w:lvl>
    <w:lvl w:ilvl="2" w:tentative="0">
      <w:start w:val="1"/>
      <w:numFmt w:val="decimal"/>
      <w:lvlText w:val="%1.%2.%3."/>
      <w:lvlJc w:val="left"/>
      <w:pPr>
        <w:tabs>
          <w:tab w:val="left" w:pos="420"/>
        </w:tabs>
        <w:ind w:left="720" w:hanging="720"/>
      </w:pPr>
      <w:rPr>
        <w:rFonts w:hint="default" w:ascii="宋体" w:hAnsi="宋体" w:eastAsia="宋体" w:cs="宋体"/>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
    <w:nsid w:val="7DDC4DB7"/>
    <w:multiLevelType w:val="multilevel"/>
    <w:tmpl w:val="7DDC4DB7"/>
    <w:lvl w:ilvl="0" w:tentative="0">
      <w:start w:val="1"/>
      <w:numFmt w:val="decimal"/>
      <w:lvlText w:val="%1."/>
      <w:lvlJc w:val="left"/>
      <w:pPr>
        <w:ind w:left="425" w:hanging="425"/>
      </w:pPr>
      <w:rPr>
        <w:rFonts w:hint="default"/>
      </w:rPr>
    </w:lvl>
    <w:lvl w:ilvl="1" w:tentative="0">
      <w:start w:val="1"/>
      <w:numFmt w:val="decimal"/>
      <w:suff w:val="space"/>
      <w:lvlText w:val="%1.%2."/>
      <w:lvlJc w:val="left"/>
      <w:pPr>
        <w:tabs>
          <w:tab w:val="left" w:pos="420"/>
        </w:tabs>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1C5D"/>
    <w:rsid w:val="001855D9"/>
    <w:rsid w:val="00543149"/>
    <w:rsid w:val="00691C5D"/>
    <w:rsid w:val="00AF61B9"/>
    <w:rsid w:val="0BDF6813"/>
    <w:rsid w:val="0DC41553"/>
    <w:rsid w:val="1D664D00"/>
    <w:rsid w:val="24E82D51"/>
    <w:rsid w:val="299B7441"/>
    <w:rsid w:val="3C8E01FC"/>
    <w:rsid w:val="49022A62"/>
    <w:rsid w:val="5BE128D1"/>
    <w:rsid w:val="662B01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6" w:lineRule="auto"/>
      <w:outlineLvl w:val="0"/>
    </w:pPr>
    <w:rPr>
      <w:b/>
      <w:kern w:val="44"/>
      <w:sz w:val="28"/>
    </w:rPr>
  </w:style>
  <w:style w:type="paragraph" w:styleId="3">
    <w:name w:val="heading 2"/>
    <w:basedOn w:val="1"/>
    <w:next w:val="1"/>
    <w:unhideWhenUsed/>
    <w:qFormat/>
    <w:uiPriority w:val="0"/>
    <w:pPr>
      <w:keepNext/>
      <w:keepLines/>
      <w:numPr>
        <w:ilvl w:val="1"/>
        <w:numId w:val="1"/>
      </w:numPr>
      <w:spacing w:before="260" w:after="260" w:line="413" w:lineRule="auto"/>
      <w:outlineLvl w:val="1"/>
    </w:pPr>
    <w:rPr>
      <w:rFonts w:ascii="Arial" w:hAnsi="Arial"/>
      <w:b/>
      <w:sz w:val="24"/>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5"/>
    <w:qFormat/>
    <w:uiPriority w:val="0"/>
    <w:pPr>
      <w:spacing w:after="120"/>
    </w:pPr>
  </w:style>
  <w:style w:type="paragraph" w:customStyle="1" w:styleId="5">
    <w:name w:val="Default"/>
    <w:autoRedefine/>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 w:type="paragraph" w:styleId="6">
    <w:name w:val="footer"/>
    <w:basedOn w:val="1"/>
    <w:link w:val="12"/>
    <w:uiPriority w:val="0"/>
    <w:pPr>
      <w:tabs>
        <w:tab w:val="center" w:pos="4153"/>
        <w:tab w:val="right" w:pos="8306"/>
      </w:tabs>
      <w:snapToGrid w:val="0"/>
      <w:jc w:val="left"/>
    </w:pPr>
    <w:rPr>
      <w:sz w:val="18"/>
      <w:szCs w:val="18"/>
    </w:rPr>
  </w:style>
  <w:style w:type="paragraph" w:styleId="7">
    <w:name w:val="header"/>
    <w:basedOn w:val="1"/>
    <w:link w:val="11"/>
    <w:uiPriority w:val="0"/>
    <w:pP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字符"/>
    <w:basedOn w:val="10"/>
    <w:link w:val="7"/>
    <w:uiPriority w:val="0"/>
    <w:rPr>
      <w:kern w:val="2"/>
      <w:sz w:val="18"/>
      <w:szCs w:val="18"/>
    </w:rPr>
  </w:style>
  <w:style w:type="character" w:customStyle="1" w:styleId="12">
    <w:name w:val="页脚 字符"/>
    <w:basedOn w:val="10"/>
    <w:link w:val="6"/>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3668</Words>
  <Characters>3689</Characters>
  <Lines>26</Lines>
  <Paragraphs>7</Paragraphs>
  <TotalTime>5</TotalTime>
  <ScaleCrop>false</ScaleCrop>
  <LinksUpToDate>false</LinksUpToDate>
  <CharactersWithSpaces>3694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2025-04-01T02:13:00Z</dcterms:created>
  <dc:creator>Administrator</dc:creator>
  <cp:lastModifiedBy>沾衣晨露</cp:lastModifiedBy>
  <dcterms:modified xsi:type="dcterms:W3CDTF">2025-05-06T10:08:20Z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eyJoZGlkIjoiZDc3NDQyNTUyNWNlZTJjMDkzOGE1MmQyNDc0OTM3ZWYiLCJ1c2VySWQiOiIzNzcwMzk3In0=</vt:lpwstr>
  </property>
  <property fmtid="{D5CDD505-2E9C-101B-9397-08002B2CF9AE}" pid="4" name="ICV">
    <vt:lpwstr>3982D80858E6420A82FAF20F28B2B0B8_13</vt:lpwstr>
  </property>
</Properties>
</file>